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大标宋简体" w:hAnsi="黑体" w:eastAsia="方正大标宋简体"/>
          <w:sz w:val="42"/>
          <w:szCs w:val="42"/>
        </w:rPr>
      </w:pPr>
      <w:bookmarkStart w:id="0" w:name="_GoBack"/>
      <w:r>
        <w:rPr>
          <w:rFonts w:hint="eastAsia" w:ascii="方正大标宋简体" w:hAnsi="黑体" w:eastAsia="方正大标宋简体"/>
          <w:sz w:val="42"/>
          <w:szCs w:val="42"/>
        </w:rPr>
        <w:t>上海证券交易所股票期权试点投资者</w:t>
      </w:r>
    </w:p>
    <w:p>
      <w:pPr>
        <w:snapToGrid w:val="0"/>
        <w:spacing w:line="560" w:lineRule="exact"/>
        <w:jc w:val="center"/>
        <w:rPr>
          <w:rFonts w:ascii="方正大标宋简体" w:hAnsi="黑体" w:eastAsia="方正大标宋简体"/>
          <w:sz w:val="42"/>
          <w:szCs w:val="42"/>
        </w:rPr>
      </w:pPr>
      <w:r>
        <w:rPr>
          <w:rFonts w:hint="eastAsia" w:ascii="方正大标宋简体" w:hAnsi="黑体" w:eastAsia="方正大标宋简体"/>
          <w:sz w:val="42"/>
          <w:szCs w:val="42"/>
        </w:rPr>
        <w:t>适当性管理指引</w:t>
      </w:r>
      <w:bookmarkEnd w:id="0"/>
    </w:p>
    <w:p>
      <w:pPr>
        <w:snapToGrid w:val="0"/>
        <w:spacing w:line="560" w:lineRule="exact"/>
        <w:jc w:val="center"/>
        <w:rPr>
          <w:rFonts w:ascii="仿宋_GB2312" w:eastAsia="仿宋_GB2312"/>
          <w:sz w:val="28"/>
          <w:szCs w:val="28"/>
        </w:rPr>
      </w:pPr>
      <w:r>
        <w:rPr>
          <w:rFonts w:hint="eastAsia" w:ascii="仿宋_GB2312" w:hAnsi="宋体" w:eastAsia="仿宋_GB2312"/>
          <w:bCs/>
          <w:sz w:val="28"/>
          <w:szCs w:val="28"/>
        </w:rPr>
        <w:t>（2015</w:t>
      </w:r>
      <w:r>
        <w:rPr>
          <w:rFonts w:hint="eastAsia" w:ascii="仿宋_GB2312" w:eastAsia="仿宋_GB2312"/>
          <w:sz w:val="28"/>
          <w:szCs w:val="28"/>
        </w:rPr>
        <w:t>年1月9日实施  2017年6月28日第一次修订）</w:t>
      </w:r>
    </w:p>
    <w:p>
      <w:pPr>
        <w:spacing w:line="560" w:lineRule="exact"/>
        <w:jc w:val="center"/>
        <w:rPr>
          <w:rFonts w:ascii="仿宋_GB2312" w:eastAsia="仿宋_GB2312"/>
          <w:b/>
          <w:sz w:val="30"/>
          <w:szCs w:val="30"/>
        </w:rPr>
      </w:pPr>
    </w:p>
    <w:p>
      <w:pPr>
        <w:spacing w:line="560" w:lineRule="exact"/>
        <w:jc w:val="center"/>
        <w:rPr>
          <w:rFonts w:ascii="黑体" w:eastAsia="黑体"/>
          <w:b/>
          <w:sz w:val="30"/>
          <w:szCs w:val="30"/>
        </w:rPr>
      </w:pPr>
      <w:r>
        <w:rPr>
          <w:rFonts w:hint="eastAsia" w:ascii="黑体" w:eastAsia="黑体"/>
          <w:b/>
          <w:sz w:val="30"/>
          <w:szCs w:val="30"/>
        </w:rPr>
        <w:t>第一章 总则</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为了规范上海证券交易所（以下简称本所）股票期权（以下简称期权）试点的投资者适当性管理，引导投资者理性参与期权交易，促进期权市场规范有序发展，根据《上海证券交易所股票期权试点交易规则》（以下简称《期权交易规则》）及其他相关规定，制定本指引。</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期权经营机构应当根据《期权交易规则》的有关规定以及本指引的要求，建立期权投资者适当性管理的操作指引和相关工作制度，并通过多种形式和渠道向客户告知期权投资者适当性管理的具体要求。</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期权经营机构委托从事中间介绍业务的证券期货经营机构协助办理开户手续的，应当与该证券期货经营机构建立业务对接规则，落实投资者适当性管理制度的相关要求。</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期权经营机构应当严格执行期权投资者适当性管理制度，全面介绍期权产品特征，充分揭示期权交易风险，准确评估客户的风险承受能力，不得接受不符合投资者适当性标准的客户从事期权交易。</w:t>
      </w:r>
    </w:p>
    <w:p>
      <w:pPr>
        <w:spacing w:line="560" w:lineRule="exact"/>
        <w:ind w:firstLine="600" w:firstLineChars="200"/>
        <w:rPr>
          <w:rFonts w:ascii="仿宋_GB2312" w:eastAsia="仿宋_GB2312"/>
          <w:sz w:val="30"/>
          <w:szCs w:val="30"/>
        </w:rPr>
      </w:pPr>
      <w:r>
        <w:rPr>
          <w:rFonts w:hint="eastAsia" w:ascii="仿宋_GB2312" w:hAnsi="黑体" w:eastAsia="仿宋_GB2312"/>
          <w:sz w:val="30"/>
          <w:szCs w:val="30"/>
        </w:rPr>
        <w:t>投资者适当性评估及交易权限分级管理等事宜应当由期权经营机构总部进行审核。</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投资者应当根据适当性管理制度的要求及自身的风险承受能力，审慎决定是否参与期权交易。</w:t>
      </w:r>
    </w:p>
    <w:p>
      <w:pPr>
        <w:spacing w:line="560" w:lineRule="exact"/>
        <w:ind w:firstLine="600"/>
        <w:rPr>
          <w:rFonts w:ascii="仿宋_GB2312" w:eastAsia="仿宋_GB2312"/>
          <w:sz w:val="30"/>
          <w:szCs w:val="30"/>
        </w:rPr>
      </w:pPr>
      <w:r>
        <w:rPr>
          <w:rFonts w:hint="eastAsia" w:ascii="仿宋_GB2312" w:eastAsia="仿宋_GB2312"/>
          <w:sz w:val="30"/>
          <w:szCs w:val="30"/>
        </w:rPr>
        <w:t>投资者应当遵循风险自负原则，审慎决策，自愿参与期权交易并依法独立承担风险，不得以不符合适当性标准为由，拒绝承担期权交易结果与履约责任。</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本所对期权经营机构落实投资者适当性管理制度的情况进行监督检查，期权经营机构应当配合，如实提供客户开户材料、资金账户情况等资料，不得隐瞒、拒绝。</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期权经营机构、投资者违反本指引规定的，本所可以依据《期权交易规则》及其他业务规则，对其采取相应的监管措施或实施纪律处分，并计入诚信记录。</w:t>
      </w:r>
    </w:p>
    <w:p>
      <w:pPr>
        <w:spacing w:line="560" w:lineRule="exact"/>
        <w:jc w:val="center"/>
        <w:rPr>
          <w:rFonts w:ascii="黑体" w:eastAsia="黑体"/>
          <w:b/>
          <w:sz w:val="30"/>
          <w:szCs w:val="30"/>
        </w:rPr>
      </w:pPr>
      <w:r>
        <w:rPr>
          <w:rFonts w:hint="eastAsia" w:ascii="黑体" w:eastAsia="黑体"/>
          <w:b/>
          <w:sz w:val="30"/>
          <w:szCs w:val="30"/>
        </w:rPr>
        <w:t>第二章 投资者适当性管理</w:t>
      </w:r>
    </w:p>
    <w:p>
      <w:pPr>
        <w:spacing w:line="560" w:lineRule="exact"/>
        <w:jc w:val="center"/>
        <w:rPr>
          <w:rFonts w:ascii="仿宋_GB2312" w:eastAsia="仿宋_GB2312"/>
          <w:b/>
          <w:sz w:val="30"/>
          <w:szCs w:val="30"/>
        </w:rPr>
      </w:pPr>
      <w:r>
        <w:rPr>
          <w:rFonts w:hint="eastAsia" w:ascii="仿宋_GB2312" w:eastAsia="仿宋_GB2312"/>
          <w:b/>
          <w:sz w:val="30"/>
          <w:szCs w:val="30"/>
        </w:rPr>
        <w:t>第一节 投资者适当性标准</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个人投资者参与期权交易，应当符合下列条件：</w:t>
      </w:r>
    </w:p>
    <w:p>
      <w:pPr>
        <w:spacing w:line="560" w:lineRule="exact"/>
        <w:ind w:firstLine="602"/>
        <w:rPr>
          <w:rFonts w:ascii="仿宋_GB2312" w:eastAsia="仿宋_GB2312"/>
          <w:sz w:val="30"/>
          <w:szCs w:val="30"/>
        </w:rPr>
      </w:pPr>
      <w:r>
        <w:rPr>
          <w:rFonts w:hint="eastAsia" w:ascii="仿宋_GB2312" w:eastAsia="仿宋_GB2312"/>
          <w:sz w:val="30"/>
          <w:szCs w:val="30"/>
        </w:rPr>
        <w:t>（一）申请开户前20个交易日日均托管在其委托的期权经营机构的证券市值与资金账户可用余额（不含通过融资融券交易融入的证券和资金），合计不低于人民币50万元；</w:t>
      </w:r>
    </w:p>
    <w:p>
      <w:pPr>
        <w:spacing w:line="560" w:lineRule="exact"/>
        <w:ind w:firstLine="602"/>
        <w:rPr>
          <w:rFonts w:ascii="仿宋_GB2312" w:eastAsia="仿宋_GB2312"/>
          <w:sz w:val="30"/>
          <w:szCs w:val="30"/>
        </w:rPr>
      </w:pPr>
      <w:r>
        <w:rPr>
          <w:rFonts w:hint="eastAsia" w:ascii="仿宋_GB2312" w:eastAsia="仿宋_GB2312"/>
          <w:sz w:val="30"/>
          <w:szCs w:val="30"/>
        </w:rPr>
        <w:t>（二）指定交易在证券公司6个月以上并具备融资融券业务参与资格或者金融期货交易经历；或者在期货公司开户6个月以上并具有金融期货交易经历；</w:t>
      </w:r>
    </w:p>
    <w:p>
      <w:pPr>
        <w:spacing w:line="560" w:lineRule="exact"/>
        <w:ind w:firstLine="602"/>
        <w:rPr>
          <w:rFonts w:ascii="仿宋_GB2312" w:eastAsia="仿宋_GB2312"/>
          <w:sz w:val="30"/>
          <w:szCs w:val="30"/>
        </w:rPr>
      </w:pPr>
      <w:r>
        <w:rPr>
          <w:rFonts w:hint="eastAsia" w:ascii="仿宋_GB2312" w:eastAsia="仿宋_GB2312"/>
          <w:sz w:val="30"/>
          <w:szCs w:val="30"/>
        </w:rPr>
        <w:t>（三）具备期权基础知识，通过本所认可的相关测试；</w:t>
      </w:r>
    </w:p>
    <w:p>
      <w:pPr>
        <w:spacing w:line="560" w:lineRule="exact"/>
        <w:ind w:firstLine="602"/>
        <w:rPr>
          <w:rFonts w:ascii="仿宋_GB2312" w:eastAsia="仿宋_GB2312"/>
          <w:sz w:val="30"/>
          <w:szCs w:val="30"/>
        </w:rPr>
      </w:pPr>
      <w:r>
        <w:rPr>
          <w:rFonts w:hint="eastAsia" w:ascii="仿宋_GB2312" w:eastAsia="仿宋_GB2312"/>
          <w:sz w:val="30"/>
          <w:szCs w:val="30"/>
        </w:rPr>
        <w:t>（四）具有本所认可的期权模拟交易经历；</w:t>
      </w:r>
    </w:p>
    <w:p>
      <w:pPr>
        <w:spacing w:line="560" w:lineRule="exact"/>
        <w:ind w:firstLine="602"/>
        <w:rPr>
          <w:rFonts w:ascii="仿宋_GB2312" w:eastAsia="仿宋_GB2312"/>
          <w:sz w:val="30"/>
          <w:szCs w:val="30"/>
        </w:rPr>
      </w:pPr>
      <w:r>
        <w:rPr>
          <w:rFonts w:hint="eastAsia" w:ascii="仿宋_GB2312" w:eastAsia="仿宋_GB2312"/>
          <w:sz w:val="30"/>
          <w:szCs w:val="30"/>
        </w:rPr>
        <w:t>（五）具有相应的风险承受能力；</w:t>
      </w:r>
    </w:p>
    <w:p>
      <w:pPr>
        <w:spacing w:line="560" w:lineRule="exact"/>
        <w:ind w:firstLine="602"/>
        <w:rPr>
          <w:rFonts w:ascii="仿宋_GB2312" w:eastAsia="仿宋_GB2312"/>
          <w:sz w:val="30"/>
          <w:szCs w:val="30"/>
        </w:rPr>
      </w:pPr>
      <w:r>
        <w:rPr>
          <w:rFonts w:hint="eastAsia" w:ascii="仿宋_GB2312" w:eastAsia="仿宋_GB2312"/>
          <w:sz w:val="30"/>
          <w:szCs w:val="30"/>
        </w:rPr>
        <w:t>（六）无严重不良诚信记录和法律、法规、规章及本所业务规则禁止或者限制从事期权交易的情形；</w:t>
      </w:r>
    </w:p>
    <w:p>
      <w:pPr>
        <w:spacing w:line="560" w:lineRule="exact"/>
        <w:ind w:firstLine="602"/>
        <w:rPr>
          <w:rFonts w:ascii="仿宋_GB2312" w:eastAsia="仿宋_GB2312"/>
          <w:sz w:val="30"/>
          <w:szCs w:val="30"/>
        </w:rPr>
      </w:pPr>
      <w:r>
        <w:rPr>
          <w:rFonts w:hint="eastAsia" w:ascii="仿宋_GB2312" w:eastAsia="仿宋_GB2312"/>
          <w:sz w:val="30"/>
          <w:szCs w:val="30"/>
        </w:rPr>
        <w:t>（七）本所规定的其他条件。</w:t>
      </w:r>
    </w:p>
    <w:p>
      <w:pPr>
        <w:spacing w:line="560" w:lineRule="exact"/>
        <w:ind w:firstLine="602"/>
        <w:rPr>
          <w:rFonts w:ascii="仿宋_GB2312" w:eastAsia="仿宋_GB2312"/>
          <w:sz w:val="30"/>
          <w:szCs w:val="30"/>
        </w:rPr>
      </w:pPr>
      <w:r>
        <w:rPr>
          <w:rFonts w:hint="eastAsia" w:ascii="仿宋_GB2312" w:eastAsia="仿宋_GB2312"/>
          <w:sz w:val="30"/>
          <w:szCs w:val="30"/>
        </w:rPr>
        <w:t>个人投资者参与期权交易，应当通过期权经营机构组织的期权投资者适当性综合评估（以下简称综合评估）。</w:t>
      </w:r>
    </w:p>
    <w:p>
      <w:pPr>
        <w:numPr>
          <w:ilvl w:val="0"/>
          <w:numId w:val="1"/>
        </w:numPr>
        <w:spacing w:line="560" w:lineRule="exact"/>
        <w:ind w:left="0" w:firstLine="600" w:firstLineChars="200"/>
        <w:rPr>
          <w:rFonts w:ascii="仿宋_GB2312" w:eastAsia="仿宋_GB2312"/>
          <w:sz w:val="30"/>
          <w:szCs w:val="30"/>
        </w:rPr>
      </w:pPr>
      <w:r>
        <w:rPr>
          <w:rFonts w:hint="eastAsia" w:ascii="仿宋_GB2312" w:hAnsi="黑体" w:eastAsia="仿宋_GB2312"/>
          <w:sz w:val="30"/>
          <w:szCs w:val="30"/>
        </w:rPr>
        <w:t xml:space="preserve"> 普通机构投资者参与期权交易，应当符合下列条件：</w:t>
      </w:r>
    </w:p>
    <w:p>
      <w:pPr>
        <w:spacing w:line="560" w:lineRule="exact"/>
        <w:ind w:firstLine="602"/>
        <w:rPr>
          <w:rFonts w:ascii="仿宋_GB2312" w:eastAsia="仿宋_GB2312"/>
          <w:sz w:val="30"/>
          <w:szCs w:val="30"/>
        </w:rPr>
      </w:pPr>
      <w:r>
        <w:rPr>
          <w:rFonts w:hint="eastAsia" w:ascii="仿宋_GB2312" w:eastAsia="仿宋_GB2312"/>
          <w:sz w:val="30"/>
          <w:szCs w:val="30"/>
        </w:rPr>
        <w:t>（一）申请开户前20个交易日日均托管在其委托的期权经营机构的证券市值与资金账户可用余额（不含通过融资融券交易融入的证券和资金），合计不低于人民币100万元；</w:t>
      </w:r>
    </w:p>
    <w:p>
      <w:pPr>
        <w:spacing w:line="560" w:lineRule="exact"/>
        <w:ind w:firstLine="602"/>
        <w:rPr>
          <w:rFonts w:ascii="仿宋_GB2312" w:eastAsia="仿宋_GB2312"/>
          <w:sz w:val="30"/>
          <w:szCs w:val="30"/>
        </w:rPr>
      </w:pPr>
      <w:r>
        <w:rPr>
          <w:rFonts w:hint="eastAsia" w:ascii="仿宋_GB2312" w:eastAsia="仿宋_GB2312"/>
          <w:sz w:val="30"/>
          <w:szCs w:val="30"/>
        </w:rPr>
        <w:t>（二）净资产不低于人民币100万元；</w:t>
      </w:r>
    </w:p>
    <w:p>
      <w:pPr>
        <w:spacing w:line="560" w:lineRule="exact"/>
        <w:ind w:firstLine="602"/>
        <w:rPr>
          <w:rFonts w:ascii="仿宋_GB2312" w:eastAsia="仿宋_GB2312"/>
          <w:sz w:val="30"/>
          <w:szCs w:val="30"/>
        </w:rPr>
      </w:pPr>
      <w:r>
        <w:rPr>
          <w:rFonts w:hint="eastAsia" w:ascii="仿宋_GB2312" w:eastAsia="仿宋_GB2312"/>
          <w:sz w:val="30"/>
          <w:szCs w:val="30"/>
        </w:rPr>
        <w:t>（三）相关业务人员具备期权基础知识，通过本所认可的相关测试；</w:t>
      </w:r>
    </w:p>
    <w:p>
      <w:pPr>
        <w:spacing w:line="560" w:lineRule="exact"/>
        <w:ind w:firstLine="602"/>
        <w:rPr>
          <w:rFonts w:ascii="仿宋_GB2312" w:eastAsia="仿宋_GB2312"/>
          <w:sz w:val="30"/>
          <w:szCs w:val="30"/>
        </w:rPr>
      </w:pPr>
      <w:r>
        <w:rPr>
          <w:rFonts w:hint="eastAsia" w:ascii="仿宋_GB2312" w:eastAsia="仿宋_GB2312"/>
          <w:sz w:val="30"/>
          <w:szCs w:val="30"/>
        </w:rPr>
        <w:t>（四）相关业务人员具有本所认可的期权模拟交易经历；</w:t>
      </w:r>
    </w:p>
    <w:p>
      <w:pPr>
        <w:spacing w:line="560" w:lineRule="exact"/>
        <w:ind w:firstLine="602"/>
        <w:rPr>
          <w:rFonts w:ascii="仿宋_GB2312" w:eastAsia="仿宋_GB2312"/>
          <w:sz w:val="30"/>
          <w:szCs w:val="30"/>
        </w:rPr>
      </w:pPr>
      <w:r>
        <w:rPr>
          <w:rFonts w:hint="eastAsia" w:ascii="仿宋_GB2312" w:eastAsia="仿宋_GB2312"/>
          <w:sz w:val="30"/>
          <w:szCs w:val="30"/>
        </w:rPr>
        <w:t>（五）无严重不良诚信记录和法律、法规、规章及本所业务规则禁止或者限制从事期权交易的情形；</w:t>
      </w:r>
    </w:p>
    <w:p>
      <w:pPr>
        <w:spacing w:line="560" w:lineRule="exact"/>
        <w:ind w:firstLine="602"/>
        <w:rPr>
          <w:rFonts w:ascii="仿宋_GB2312" w:eastAsia="仿宋_GB2312"/>
          <w:sz w:val="30"/>
          <w:szCs w:val="30"/>
        </w:rPr>
      </w:pPr>
      <w:r>
        <w:rPr>
          <w:rFonts w:hint="eastAsia" w:ascii="仿宋_GB2312" w:eastAsia="仿宋_GB2312"/>
          <w:sz w:val="30"/>
          <w:szCs w:val="30"/>
        </w:rPr>
        <w:t>（六）本所规定的其他条件。</w:t>
      </w:r>
    </w:p>
    <w:p>
      <w:pPr>
        <w:numPr>
          <w:ilvl w:val="0"/>
          <w:numId w:val="1"/>
        </w:numPr>
        <w:spacing w:line="560" w:lineRule="exact"/>
        <w:ind w:left="0" w:firstLine="600" w:firstLineChars="200"/>
        <w:rPr>
          <w:rFonts w:ascii="仿宋_GB2312" w:eastAsia="仿宋_GB2312"/>
          <w:sz w:val="30"/>
          <w:szCs w:val="30"/>
        </w:rPr>
      </w:pPr>
      <w:r>
        <w:rPr>
          <w:rFonts w:hint="eastAsia" w:ascii="仿宋_GB2312" w:hAnsi="黑体" w:eastAsia="仿宋_GB2312"/>
          <w:sz w:val="30"/>
          <w:szCs w:val="30"/>
        </w:rPr>
        <w:t xml:space="preserve"> 除法律、法规、规章以及监管机构另有规定外，下列专业机构投资者参与期权交易，不对其进行</w:t>
      </w:r>
      <w:r>
        <w:rPr>
          <w:rFonts w:hint="eastAsia" w:ascii="仿宋_GB2312" w:eastAsia="仿宋_GB2312"/>
          <w:sz w:val="30"/>
          <w:szCs w:val="30"/>
        </w:rPr>
        <w:t>综合评估</w:t>
      </w:r>
      <w:r>
        <w:rPr>
          <w:rFonts w:hint="eastAsia" w:ascii="仿宋_GB2312" w:hAnsi="黑体" w:eastAsia="仿宋_GB2312"/>
          <w:sz w:val="30"/>
          <w:szCs w:val="30"/>
        </w:rPr>
        <w:t>：</w:t>
      </w:r>
    </w:p>
    <w:p>
      <w:pPr>
        <w:spacing w:line="560" w:lineRule="exact"/>
        <w:ind w:firstLine="602"/>
        <w:rPr>
          <w:rFonts w:ascii="仿宋_GB2312" w:eastAsia="仿宋_GB2312"/>
          <w:sz w:val="30"/>
          <w:szCs w:val="30"/>
        </w:rPr>
      </w:pPr>
      <w:r>
        <w:rPr>
          <w:rFonts w:hint="eastAsia" w:ascii="仿宋_GB2312" w:eastAsia="仿宋_GB2312"/>
          <w:sz w:val="30"/>
          <w:szCs w:val="30"/>
        </w:rPr>
        <w:t>（一）商业银行、期权经营机构、保险机构、信托公司、基金管理公司、财务公司、合格境外机构投资者等专业机构及其分支机构；</w:t>
      </w:r>
    </w:p>
    <w:p>
      <w:pPr>
        <w:spacing w:line="560" w:lineRule="exact"/>
        <w:ind w:firstLine="602"/>
        <w:rPr>
          <w:rFonts w:ascii="仿宋_GB2312" w:eastAsia="仿宋_GB2312"/>
          <w:sz w:val="30"/>
          <w:szCs w:val="30"/>
        </w:rPr>
      </w:pPr>
      <w:r>
        <w:rPr>
          <w:rFonts w:hint="eastAsia" w:ascii="仿宋_GB2312" w:eastAsia="仿宋_GB2312"/>
          <w:sz w:val="30"/>
          <w:szCs w:val="30"/>
        </w:rPr>
        <w:t>（二）证券投资基金、社保基金、养老基金、企业年金、信托计划、资产管理计划、银行及保险理财产品，以及由第一项所列专业机构担任管理人的其他基金或者委托投资资产；</w:t>
      </w:r>
    </w:p>
    <w:p>
      <w:pPr>
        <w:spacing w:line="560" w:lineRule="exact"/>
        <w:ind w:firstLine="602"/>
        <w:rPr>
          <w:rFonts w:ascii="仿宋_GB2312" w:eastAsia="仿宋_GB2312"/>
          <w:sz w:val="30"/>
          <w:szCs w:val="30"/>
        </w:rPr>
      </w:pPr>
      <w:r>
        <w:rPr>
          <w:rFonts w:hint="eastAsia" w:ascii="仿宋_GB2312" w:eastAsia="仿宋_GB2312"/>
          <w:sz w:val="30"/>
          <w:szCs w:val="30"/>
        </w:rPr>
        <w:t>（三）监管机构及本所规定的其他专业机构投资者。</w:t>
      </w:r>
    </w:p>
    <w:p>
      <w:pPr>
        <w:spacing w:line="560" w:lineRule="exact"/>
        <w:ind w:firstLine="602"/>
        <w:jc w:val="center"/>
        <w:rPr>
          <w:rFonts w:ascii="仿宋_GB2312" w:eastAsia="仿宋_GB2312"/>
          <w:b/>
          <w:sz w:val="30"/>
          <w:szCs w:val="30"/>
        </w:rPr>
      </w:pPr>
      <w:r>
        <w:rPr>
          <w:rFonts w:hint="eastAsia" w:ascii="仿宋_GB2312" w:eastAsia="仿宋_GB2312"/>
          <w:b/>
          <w:sz w:val="30"/>
          <w:szCs w:val="30"/>
        </w:rPr>
        <w:t>第二节 综合评估基本要求</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期权经营机构应当制定期权投资者综合评估的实施办法，选择适当的投资者参与期权交易。</w:t>
      </w:r>
    </w:p>
    <w:p>
      <w:pPr>
        <w:spacing w:line="560" w:lineRule="exact"/>
        <w:ind w:firstLine="600"/>
        <w:rPr>
          <w:rFonts w:ascii="仿宋_GB2312" w:eastAsia="仿宋_GB2312"/>
          <w:sz w:val="30"/>
          <w:szCs w:val="30"/>
        </w:rPr>
      </w:pPr>
      <w:r>
        <w:rPr>
          <w:rFonts w:hint="eastAsia" w:ascii="仿宋_GB2312" w:eastAsia="仿宋_GB2312"/>
          <w:sz w:val="30"/>
          <w:szCs w:val="30"/>
        </w:rPr>
        <w:t>期权经营机构应当及时将投资者适当性管理的操作指引和相关工作制度，报本所备案。</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期权经营机构应当对投资者是否符合本指引规定的参与期权交易的条件进行核查。</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期权经营机构应当对个人投资者的基本情况、投资经历、金融类资产状况、期权基础知识、风险承受能力和诚信状况等方面进行综合评估。</w:t>
      </w:r>
    </w:p>
    <w:p>
      <w:pPr>
        <w:spacing w:line="560" w:lineRule="exact"/>
        <w:ind w:firstLine="600"/>
        <w:jc w:val="left"/>
        <w:rPr>
          <w:rFonts w:ascii="仿宋_GB2312" w:eastAsia="仿宋_GB2312"/>
          <w:sz w:val="30"/>
          <w:szCs w:val="30"/>
        </w:rPr>
      </w:pPr>
      <w:r>
        <w:rPr>
          <w:rFonts w:hint="eastAsia" w:ascii="仿宋_GB2312" w:eastAsia="仿宋_GB2312"/>
          <w:sz w:val="30"/>
          <w:szCs w:val="30"/>
        </w:rPr>
        <w:t>投资者应当如实提供有关综合评估的证明材料，并保证证明材料的真实、准确、完整。</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期权经营机构应当通过评估问卷等方式，对客户的风险承受能力进行专项评估。</w:t>
      </w:r>
    </w:p>
    <w:p>
      <w:pPr>
        <w:spacing w:line="560" w:lineRule="exact"/>
        <w:ind w:firstLine="600"/>
        <w:rPr>
          <w:rFonts w:ascii="仿宋_GB2312" w:eastAsia="仿宋_GB2312"/>
          <w:sz w:val="30"/>
          <w:szCs w:val="30"/>
        </w:rPr>
      </w:pPr>
      <w:r>
        <w:rPr>
          <w:rFonts w:hint="eastAsia" w:ascii="仿宋_GB2312" w:eastAsia="仿宋_GB2312"/>
          <w:sz w:val="30"/>
          <w:szCs w:val="30"/>
        </w:rPr>
        <w:t>期权经营机构应当向客户明确告知评估结果，提示其审慎参与期权交易，并对提示情况进行记录、留存。</w:t>
      </w:r>
    </w:p>
    <w:p>
      <w:pPr>
        <w:numPr>
          <w:ilvl w:val="0"/>
          <w:numId w:val="1"/>
        </w:numPr>
        <w:spacing w:line="560" w:lineRule="exact"/>
        <w:ind w:left="0" w:firstLine="600" w:firstLineChars="200"/>
        <w:rPr>
          <w:rFonts w:ascii="仿宋_GB2312" w:eastAsia="仿宋_GB2312"/>
          <w:sz w:val="30"/>
          <w:szCs w:val="30"/>
        </w:rPr>
      </w:pPr>
      <w:r>
        <w:rPr>
          <w:rFonts w:hint="eastAsia" w:ascii="仿宋_GB2312" w:hAnsi="黑体" w:eastAsia="仿宋_GB2312"/>
          <w:bCs/>
          <w:sz w:val="30"/>
          <w:szCs w:val="30"/>
        </w:rPr>
        <w:t xml:space="preserve"> 期权经营机构应当要求客户进行现场开户，试点期间不得</w:t>
      </w:r>
      <w:r>
        <w:rPr>
          <w:rFonts w:hint="eastAsia" w:ascii="仿宋_GB2312" w:hAnsi="宋体" w:eastAsia="仿宋_GB2312"/>
          <w:bCs/>
          <w:sz w:val="30"/>
          <w:szCs w:val="30"/>
        </w:rPr>
        <w:t>采取见证开户、网上开户及其他开户方式。</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期权经营机构应当将客户提供的证明文件及相关材料的原件或者复印件、投资者的知识测试成绩单和综合评估表、风险承受能力评估材料以及风险揭示书等资料，作为开户资料予以保存。</w:t>
      </w:r>
    </w:p>
    <w:p>
      <w:pPr>
        <w:spacing w:line="560" w:lineRule="exact"/>
        <w:ind w:firstLine="602"/>
        <w:jc w:val="center"/>
        <w:rPr>
          <w:rFonts w:ascii="仿宋_GB2312" w:eastAsia="仿宋_GB2312"/>
          <w:b/>
          <w:sz w:val="30"/>
          <w:szCs w:val="30"/>
        </w:rPr>
      </w:pPr>
      <w:r>
        <w:rPr>
          <w:rFonts w:hint="eastAsia" w:ascii="仿宋_GB2312" w:eastAsia="仿宋_GB2312"/>
          <w:b/>
          <w:sz w:val="30"/>
          <w:szCs w:val="30"/>
        </w:rPr>
        <w:t>第三节 期权投资者知识测试</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期权经营机构应当按照本指引要求开展期权投资者知识测试（以下简称知识测试），测试成绩用于投资者交易权限级别的核定和期权基础知识的得分评估。</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投资者本人参加并通过相应等级的知识测试的，可以按照本指引第三章的规定以及期权经纪合同的约定，向期权经营机构申请相应等级的交易权限。</w:t>
      </w:r>
    </w:p>
    <w:p>
      <w:pPr>
        <w:spacing w:line="560" w:lineRule="exact"/>
        <w:ind w:firstLine="600"/>
        <w:rPr>
          <w:rFonts w:ascii="仿宋_GB2312" w:eastAsia="仿宋_GB2312"/>
          <w:sz w:val="30"/>
          <w:szCs w:val="30"/>
        </w:rPr>
      </w:pPr>
      <w:r>
        <w:rPr>
          <w:rFonts w:hint="eastAsia" w:ascii="仿宋_GB2312" w:eastAsia="仿宋_GB2312"/>
          <w:sz w:val="30"/>
          <w:szCs w:val="30"/>
        </w:rPr>
        <w:t>普通机构投资者指定的相关业务人员，应当参加本所认可的相关知识测试。</w:t>
      </w:r>
    </w:p>
    <w:p>
      <w:pPr>
        <w:numPr>
          <w:ilvl w:val="0"/>
          <w:numId w:val="1"/>
        </w:numPr>
        <w:spacing w:line="560" w:lineRule="exact"/>
        <w:ind w:left="0" w:firstLine="564" w:firstLineChars="188"/>
        <w:rPr>
          <w:rFonts w:ascii="仿宋_GB2312" w:eastAsia="仿宋_GB2312"/>
          <w:sz w:val="30"/>
          <w:szCs w:val="30"/>
        </w:rPr>
      </w:pPr>
      <w:r>
        <w:rPr>
          <w:rFonts w:hint="eastAsia" w:ascii="仿宋_GB2312" w:eastAsia="仿宋_GB2312"/>
          <w:sz w:val="30"/>
          <w:szCs w:val="30"/>
        </w:rPr>
        <w:t>个人投资者应当逐级参加知识测试，未通过前一等级考试的，不得参加后一等级的考试。</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知识测试应当在期权经营机构营业场所内进行。测试完毕后，期权经营机构应当为投资者打印成绩单并盖章。</w:t>
      </w:r>
    </w:p>
    <w:p>
      <w:pPr>
        <w:spacing w:line="560" w:lineRule="exact"/>
        <w:ind w:firstLine="600"/>
        <w:rPr>
          <w:rFonts w:ascii="仿宋_GB2312" w:eastAsia="仿宋_GB2312"/>
          <w:sz w:val="30"/>
          <w:szCs w:val="30"/>
        </w:rPr>
      </w:pPr>
      <w:r>
        <w:rPr>
          <w:rFonts w:hint="eastAsia" w:ascii="仿宋_GB2312" w:eastAsia="仿宋_GB2312"/>
          <w:sz w:val="30"/>
          <w:szCs w:val="30"/>
        </w:rPr>
        <w:t>投资者本人和普通机构投资者指定的相关业务人员，应当在成绩单上签字。</w:t>
      </w:r>
    </w:p>
    <w:p>
      <w:pPr>
        <w:spacing w:line="560" w:lineRule="exact"/>
        <w:ind w:left="600"/>
        <w:rPr>
          <w:rFonts w:ascii="仿宋_GB2312" w:eastAsia="仿宋_GB2312"/>
          <w:sz w:val="30"/>
          <w:szCs w:val="30"/>
        </w:rPr>
      </w:pPr>
      <w:r>
        <w:rPr>
          <w:rFonts w:hint="eastAsia" w:ascii="仿宋_GB2312" w:eastAsia="仿宋_GB2312"/>
          <w:sz w:val="30"/>
          <w:szCs w:val="30"/>
        </w:rPr>
        <w:t>期权经营机构客户开发人员不得兼任知识测试组织人员。</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知识测试成绩长期有效，并可用于在其他期权经营机构申请开户。</w:t>
      </w:r>
    </w:p>
    <w:p>
      <w:pPr>
        <w:spacing w:line="560" w:lineRule="exact"/>
        <w:jc w:val="center"/>
        <w:rPr>
          <w:rFonts w:ascii="黑体" w:eastAsia="黑体"/>
          <w:b/>
          <w:sz w:val="30"/>
          <w:szCs w:val="30"/>
        </w:rPr>
      </w:pPr>
      <w:r>
        <w:rPr>
          <w:rFonts w:hint="eastAsia" w:ascii="黑体" w:eastAsia="黑体"/>
          <w:b/>
          <w:sz w:val="30"/>
          <w:szCs w:val="30"/>
        </w:rPr>
        <w:t>第三章 投资者分级管理</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期权经营机构应当根据本指引的规定，对个人投资者参与期权交易的权限进行分级管理。</w:t>
      </w:r>
    </w:p>
    <w:p>
      <w:pPr>
        <w:spacing w:line="560" w:lineRule="exact"/>
        <w:ind w:firstLine="600"/>
        <w:rPr>
          <w:rFonts w:ascii="仿宋_GB2312" w:eastAsia="仿宋_GB2312"/>
          <w:sz w:val="30"/>
          <w:szCs w:val="30"/>
        </w:rPr>
      </w:pPr>
      <w:r>
        <w:rPr>
          <w:rFonts w:hint="eastAsia" w:ascii="仿宋_GB2312" w:eastAsia="仿宋_GB2312"/>
          <w:sz w:val="30"/>
          <w:szCs w:val="30"/>
        </w:rPr>
        <w:t>期权经营机构应当在期权经纪合同中载明个人投资者分级管理的具体标准、程序和要求，并就分级管理事宜向个人投资者进行充分说明。</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个人投资者申请的交易权限级别分为一级、二级、三级交易权限。</w:t>
      </w:r>
    </w:p>
    <w:p>
      <w:pPr>
        <w:numPr>
          <w:ilvl w:val="0"/>
          <w:numId w:val="1"/>
        </w:numPr>
        <w:spacing w:line="560" w:lineRule="exact"/>
        <w:ind w:left="0" w:firstLine="600" w:firstLineChars="200"/>
        <w:rPr>
          <w:rFonts w:ascii="仿宋_GB2312" w:eastAsia="仿宋_GB2312"/>
          <w:sz w:val="30"/>
          <w:szCs w:val="30"/>
        </w:rPr>
      </w:pPr>
      <w:r>
        <w:rPr>
          <w:rFonts w:hint="eastAsia" w:ascii="仿宋_GB2312" w:hAnsi="黑体" w:eastAsia="仿宋_GB2312"/>
          <w:sz w:val="30"/>
          <w:szCs w:val="30"/>
        </w:rPr>
        <w:t>具有</w:t>
      </w:r>
      <w:r>
        <w:rPr>
          <w:rFonts w:hint="eastAsia" w:ascii="仿宋_GB2312" w:eastAsia="仿宋_GB2312"/>
          <w:sz w:val="30"/>
          <w:szCs w:val="30"/>
        </w:rPr>
        <w:t>一级交易权限的个人投资者，可以进行下列期权交易：</w:t>
      </w:r>
    </w:p>
    <w:p>
      <w:pPr>
        <w:spacing w:line="560" w:lineRule="exact"/>
        <w:ind w:firstLine="600"/>
        <w:rPr>
          <w:rFonts w:ascii="仿宋_GB2312" w:eastAsia="仿宋_GB2312"/>
          <w:sz w:val="30"/>
          <w:szCs w:val="30"/>
        </w:rPr>
      </w:pPr>
      <w:r>
        <w:rPr>
          <w:rFonts w:hint="eastAsia" w:ascii="仿宋_GB2312" w:eastAsia="仿宋_GB2312"/>
          <w:sz w:val="30"/>
          <w:szCs w:val="30"/>
        </w:rPr>
        <w:t>（一）在持有期权合约标的时，进行相应数量的备兑开仓；</w:t>
      </w:r>
    </w:p>
    <w:p>
      <w:pPr>
        <w:spacing w:line="560" w:lineRule="exact"/>
        <w:ind w:firstLine="600"/>
        <w:rPr>
          <w:rFonts w:ascii="仿宋_GB2312" w:eastAsia="仿宋_GB2312"/>
          <w:sz w:val="30"/>
          <w:szCs w:val="30"/>
        </w:rPr>
      </w:pPr>
      <w:r>
        <w:rPr>
          <w:rFonts w:hint="eastAsia" w:ascii="仿宋_GB2312" w:eastAsia="仿宋_GB2312"/>
          <w:sz w:val="30"/>
          <w:szCs w:val="30"/>
        </w:rPr>
        <w:t>（二）在持有期权合约标的时，进行相应数量的认沽期权买入开仓；</w:t>
      </w:r>
    </w:p>
    <w:p>
      <w:pPr>
        <w:spacing w:line="560" w:lineRule="exact"/>
        <w:ind w:firstLine="600"/>
        <w:rPr>
          <w:rFonts w:ascii="仿宋_GB2312" w:eastAsia="仿宋_GB2312"/>
          <w:sz w:val="30"/>
          <w:szCs w:val="30"/>
        </w:rPr>
      </w:pPr>
      <w:r>
        <w:rPr>
          <w:rFonts w:hint="eastAsia" w:ascii="仿宋_GB2312" w:eastAsia="仿宋_GB2312"/>
          <w:sz w:val="30"/>
          <w:szCs w:val="30"/>
        </w:rPr>
        <w:t>（三）对所持有的合约进行平仓或者行权。</w:t>
      </w:r>
    </w:p>
    <w:p>
      <w:pPr>
        <w:numPr>
          <w:ilvl w:val="0"/>
          <w:numId w:val="1"/>
        </w:numPr>
        <w:spacing w:line="560" w:lineRule="exact"/>
        <w:ind w:left="0" w:firstLine="600" w:firstLineChars="200"/>
        <w:rPr>
          <w:rFonts w:ascii="仿宋_GB2312" w:eastAsia="仿宋_GB2312"/>
          <w:sz w:val="30"/>
          <w:szCs w:val="30"/>
        </w:rPr>
      </w:pPr>
      <w:r>
        <w:rPr>
          <w:rFonts w:hint="eastAsia" w:ascii="仿宋_GB2312" w:hAnsi="黑体" w:eastAsia="仿宋_GB2312"/>
          <w:sz w:val="30"/>
          <w:szCs w:val="30"/>
        </w:rPr>
        <w:t>具有</w:t>
      </w:r>
      <w:r>
        <w:rPr>
          <w:rFonts w:hint="eastAsia" w:ascii="仿宋_GB2312" w:eastAsia="仿宋_GB2312"/>
          <w:sz w:val="30"/>
          <w:szCs w:val="30"/>
        </w:rPr>
        <w:t>二级交易权限的个人投资者，可以进行下列期权交易：</w:t>
      </w:r>
    </w:p>
    <w:p>
      <w:pPr>
        <w:spacing w:line="560" w:lineRule="exact"/>
        <w:ind w:firstLine="600"/>
        <w:rPr>
          <w:rFonts w:ascii="仿宋_GB2312" w:eastAsia="仿宋_GB2312"/>
          <w:sz w:val="30"/>
          <w:szCs w:val="30"/>
        </w:rPr>
      </w:pPr>
      <w:r>
        <w:rPr>
          <w:rFonts w:hint="eastAsia" w:ascii="仿宋_GB2312" w:eastAsia="仿宋_GB2312"/>
          <w:sz w:val="30"/>
          <w:szCs w:val="30"/>
        </w:rPr>
        <w:t>（一）一级交易权限对应的交易；</w:t>
      </w:r>
    </w:p>
    <w:p>
      <w:pPr>
        <w:spacing w:line="560" w:lineRule="exact"/>
        <w:ind w:left="600"/>
        <w:rPr>
          <w:rFonts w:ascii="仿宋_GB2312" w:eastAsia="仿宋_GB2312"/>
          <w:sz w:val="30"/>
          <w:szCs w:val="30"/>
        </w:rPr>
      </w:pPr>
      <w:r>
        <w:rPr>
          <w:rFonts w:hint="eastAsia" w:ascii="仿宋_GB2312" w:eastAsia="仿宋_GB2312"/>
          <w:sz w:val="30"/>
          <w:szCs w:val="30"/>
        </w:rPr>
        <w:t>（二）买入开仓。</w:t>
      </w:r>
    </w:p>
    <w:p>
      <w:pPr>
        <w:numPr>
          <w:ilvl w:val="0"/>
          <w:numId w:val="1"/>
        </w:numPr>
        <w:spacing w:line="560" w:lineRule="exact"/>
        <w:ind w:left="0" w:firstLine="600" w:firstLineChars="200"/>
        <w:rPr>
          <w:rFonts w:ascii="仿宋_GB2312" w:eastAsia="仿宋_GB2312"/>
          <w:sz w:val="30"/>
          <w:szCs w:val="30"/>
        </w:rPr>
      </w:pPr>
      <w:r>
        <w:rPr>
          <w:rFonts w:hint="eastAsia" w:ascii="仿宋_GB2312" w:hAnsi="黑体" w:eastAsia="仿宋_GB2312"/>
          <w:sz w:val="30"/>
          <w:szCs w:val="30"/>
        </w:rPr>
        <w:t>具有</w:t>
      </w:r>
      <w:r>
        <w:rPr>
          <w:rFonts w:hint="eastAsia" w:ascii="仿宋_GB2312" w:eastAsia="仿宋_GB2312"/>
          <w:sz w:val="30"/>
          <w:szCs w:val="30"/>
        </w:rPr>
        <w:t>三级交易权限的个人投资者，以及普通机构投资者、专业机构投资者，可以进行下列期权交易：</w:t>
      </w:r>
    </w:p>
    <w:p>
      <w:pPr>
        <w:spacing w:line="560" w:lineRule="exact"/>
        <w:ind w:firstLine="600"/>
        <w:rPr>
          <w:rFonts w:ascii="仿宋_GB2312" w:eastAsia="仿宋_GB2312"/>
          <w:sz w:val="30"/>
          <w:szCs w:val="30"/>
        </w:rPr>
      </w:pPr>
      <w:r>
        <w:rPr>
          <w:rFonts w:hint="eastAsia" w:ascii="仿宋_GB2312" w:eastAsia="仿宋_GB2312"/>
          <w:sz w:val="30"/>
          <w:szCs w:val="30"/>
        </w:rPr>
        <w:t>（一）二级交易权限对应的交易；</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（二）保证金卖出开仓。</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个人投资者申请各级别交易权限，应当在相应的知识测试中达到规定的合格分数，并具备相应的期权模拟交易经历。</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个人投资者的知识测试成绩、期权模拟交易经历以及金融类资产状况发生变化，满足较高交易权限对应的资格要求的，可以向期权经营机构申请调高其交易权限。</w:t>
      </w:r>
    </w:p>
    <w:p>
      <w:pPr>
        <w:spacing w:line="560" w:lineRule="exact"/>
        <w:ind w:firstLine="600"/>
        <w:rPr>
          <w:rFonts w:ascii="仿宋_GB2312" w:eastAsia="仿宋_GB2312"/>
          <w:sz w:val="30"/>
          <w:szCs w:val="30"/>
        </w:rPr>
      </w:pPr>
      <w:r>
        <w:rPr>
          <w:rFonts w:hint="eastAsia" w:ascii="仿宋_GB2312" w:eastAsia="仿宋_GB2312"/>
          <w:sz w:val="30"/>
          <w:szCs w:val="30"/>
        </w:rPr>
        <w:t>出现前款规定情形的，期权经营机构应当严格按照本指引的规定，对申请进行审核；申请符合本指引规定以及期权经纪合同约定的，可以对其交易权限进行调整。</w:t>
      </w:r>
    </w:p>
    <w:p>
      <w:pPr>
        <w:numPr>
          <w:ilvl w:val="0"/>
          <w:numId w:val="1"/>
        </w:numPr>
        <w:spacing w:line="560" w:lineRule="exact"/>
        <w:ind w:left="0" w:firstLine="600" w:firstLineChars="200"/>
        <w:rPr>
          <w:rFonts w:ascii="仿宋_GB2312" w:eastAsia="仿宋_GB2312"/>
          <w:sz w:val="30"/>
          <w:szCs w:val="30"/>
        </w:rPr>
      </w:pPr>
      <w:r>
        <w:rPr>
          <w:rFonts w:hint="eastAsia" w:ascii="仿宋_GB2312" w:hAnsi="黑体" w:eastAsia="仿宋_GB2312"/>
          <w:sz w:val="30"/>
          <w:szCs w:val="30"/>
        </w:rPr>
        <w:t>个人</w:t>
      </w:r>
      <w:r>
        <w:rPr>
          <w:rFonts w:hint="eastAsia" w:ascii="仿宋_GB2312" w:eastAsia="仿宋_GB2312"/>
          <w:sz w:val="30"/>
          <w:szCs w:val="30"/>
        </w:rPr>
        <w:t>投资者可以向期权经营机构申请调低其交易权限，期权经营机构应当根据其要求调至相应级别。</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期权经营机构应当通过电话、电子邮件、网络、营业部现场交流等方式，动态跟踪投资者开立衍生品合约账户时提供的基本信息，持续了解投资者的基本情况、财务状况以及期权交易参与情况等信息。</w:t>
      </w:r>
    </w:p>
    <w:p>
      <w:pPr>
        <w:spacing w:line="560" w:lineRule="exact"/>
        <w:ind w:firstLine="600"/>
        <w:rPr>
          <w:rFonts w:ascii="仿宋_GB2312" w:eastAsia="仿宋_GB2312"/>
          <w:sz w:val="30"/>
          <w:szCs w:val="30"/>
        </w:rPr>
      </w:pPr>
      <w:r>
        <w:rPr>
          <w:rFonts w:hint="eastAsia" w:ascii="仿宋_GB2312" w:eastAsia="仿宋_GB2312"/>
          <w:sz w:val="30"/>
          <w:szCs w:val="30"/>
        </w:rPr>
        <w:t>投资者提供的基本信息发生变化的，应及时告知期权经营机构。期权经营机构发现客户提供的联络方式等重要信息发生变化的，应当及时了解并更新。</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 xml:space="preserve"> 期权经营机构应当根据对客户情况的动态跟踪和持续了解，至少每两年对所有已开户的客户的交易情况、诚信记录、风险承受能力等进行一次全面评估，判断其是否符合适当性管理以及交易权限分级管理的相关要求。评估结果应当予以记录留存。</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期权经营机构发现客户的实际情况已经不符合其交易权限对应的资格要求的，或者出现期权经纪合同中约定的调低交易权限的情形的，可以自行调低客户交易权限。</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期权经营机构调整客户交易权限的，应当就调整后可能增加的投资风险或者可能丧失的交易权限对客户进行提示，并对相关告知和提示材料予以记录留存。</w:t>
      </w:r>
    </w:p>
    <w:p>
      <w:pPr>
        <w:spacing w:line="560" w:lineRule="exact"/>
        <w:ind w:firstLine="600"/>
        <w:rPr>
          <w:rFonts w:ascii="仿宋_GB2312" w:eastAsia="仿宋_GB2312"/>
          <w:sz w:val="30"/>
          <w:szCs w:val="30"/>
        </w:rPr>
      </w:pPr>
      <w:r>
        <w:rPr>
          <w:rFonts w:hint="eastAsia" w:ascii="仿宋_GB2312" w:eastAsia="仿宋_GB2312"/>
          <w:sz w:val="30"/>
          <w:szCs w:val="30"/>
        </w:rPr>
        <w:t>期权经营机构自行调低客户交易权限的，还应当至少提前三个交易日通过纸面或者电子形式告知客户并予以记录留存。</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期权经营机构调整客户交易权限级别的，客户应当按照调整后的交易权限进行期权交易。</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期权经营机构应当根据客户交易权限的分级结果，采取适当方式对客户的期权交易委托指令进行前端控制，对不符合交易权限的交易委托予以拒绝。</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期权经营机构应当参考投资者适当性评估结果，对享有不同交易权限的客户制定相应的服务方案和管理流程，在期权投资咨询、资产管理、投资者教育等方面提供有针对性的服务，引导客户理性投资。</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期权经营机构为客户核定或者调整交易权限分级结果后，应当按照本所要求的时间和格式，将客户的名单及分级结果提交本所。</w:t>
      </w:r>
    </w:p>
    <w:p>
      <w:pPr>
        <w:spacing w:line="560" w:lineRule="exact"/>
        <w:jc w:val="center"/>
        <w:rPr>
          <w:rFonts w:ascii="黑体" w:eastAsia="黑体"/>
          <w:b/>
          <w:sz w:val="30"/>
          <w:szCs w:val="30"/>
        </w:rPr>
      </w:pPr>
      <w:r>
        <w:rPr>
          <w:rFonts w:hint="eastAsia" w:ascii="黑体" w:eastAsia="黑体"/>
          <w:b/>
          <w:sz w:val="30"/>
          <w:szCs w:val="30"/>
        </w:rPr>
        <w:t>第四章  投资者教育</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期权经营机构应当建立期权投资者教育工作制度，设置期权投资者教育专岗，加强对客户期权知识的培训和指导，并根据客户的不同需求和特点，对期权投资者教育工作的形式和内容作出具体安排。</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应当在公司网站及营业部现场，开设期权投资者教育专栏，并持续利用柜台交易系统、电子邮件、短信等有效方式，全面介绍期权知识，宣传期权法律、法规、规章与业务规则，充分揭示期权交易风险。</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期权经营机构应当在公司网站建立与本所投资者教育网站期权投教专区的链接，并根据需要或本所要求，及时向客户发布本所提供的有关期权投资者教育的相关资料。</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期权经营机构应当将本所发布的与期权相关的市场通知、风险提示、停复牌公告等重要信息，通过公司网站、柜台交易系统等有效方式及时向客户发布。</w:t>
      </w:r>
    </w:p>
    <w:p>
      <w:pPr>
        <w:spacing w:line="560" w:lineRule="exact"/>
        <w:jc w:val="center"/>
        <w:rPr>
          <w:rFonts w:ascii="黑体" w:eastAsia="黑体"/>
          <w:b/>
          <w:sz w:val="30"/>
          <w:szCs w:val="30"/>
        </w:rPr>
      </w:pPr>
      <w:r>
        <w:rPr>
          <w:rFonts w:hint="eastAsia" w:ascii="黑体" w:eastAsia="黑体"/>
          <w:b/>
          <w:sz w:val="30"/>
          <w:szCs w:val="30"/>
        </w:rPr>
        <w:t>第五章 附则</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期权经营机构根据本指引的规定对相关记录进行留存的，相关记录保存期限不得少于20年。</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本指引由本所负责解释。</w:t>
      </w:r>
    </w:p>
    <w:p>
      <w:pPr>
        <w:numPr>
          <w:ilvl w:val="0"/>
          <w:numId w:val="1"/>
        </w:numPr>
        <w:spacing w:line="560" w:lineRule="exact"/>
        <w:ind w:left="0" w:firstLine="600" w:firstLineChars="200"/>
        <w:rPr>
          <w:rFonts w:ascii="仿宋_GB2312" w:eastAsia="仿宋_GB2312"/>
          <w:sz w:val="30"/>
          <w:szCs w:val="30"/>
        </w:rPr>
      </w:pPr>
      <w:r>
        <w:rPr>
          <w:rFonts w:hint="eastAsia" w:ascii="仿宋_GB2312" w:eastAsia="仿宋_GB2312"/>
          <w:sz w:val="30"/>
          <w:szCs w:val="30"/>
        </w:rPr>
        <w:t>本指引自发布之日起施行。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大标宋简体">
    <w:altName w:val="汉仪书宋二KW"/>
    <w:panose1 w:val="00000000000000000000"/>
    <w:charset w:val="86"/>
    <w:family w:val="script"/>
    <w:pitch w:val="default"/>
    <w:sig w:usb0="00000000" w:usb1="00000000" w:usb2="00000010" w:usb3="00000000" w:csb0="0004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1A56"/>
    <w:multiLevelType w:val="multilevel"/>
    <w:tmpl w:val="33451A56"/>
    <w:lvl w:ilvl="0" w:tentative="0">
      <w:start w:val="1"/>
      <w:numFmt w:val="chineseCountingThousand"/>
      <w:lvlText w:val="第%1条"/>
      <w:lvlJc w:val="left"/>
      <w:pPr>
        <w:ind w:left="4532" w:hanging="420"/>
      </w:pPr>
      <w:rPr>
        <w:rFonts w:hint="eastAsia" w:cs="Times New Roman"/>
        <w:b/>
      </w:rPr>
    </w:lvl>
    <w:lvl w:ilvl="1" w:tentative="0">
      <w:start w:val="1"/>
      <w:numFmt w:val="lowerLetter"/>
      <w:lvlText w:val="%2)"/>
      <w:lvlJc w:val="left"/>
      <w:pPr>
        <w:ind w:left="1300" w:hanging="420"/>
      </w:pPr>
      <w:rPr>
        <w:rFonts w:cs="Times New Roman"/>
      </w:rPr>
    </w:lvl>
    <w:lvl w:ilvl="2" w:tentative="0">
      <w:start w:val="1"/>
      <w:numFmt w:val="lowerRoman"/>
      <w:lvlText w:val="%3."/>
      <w:lvlJc w:val="right"/>
      <w:pPr>
        <w:ind w:left="1720" w:hanging="420"/>
      </w:pPr>
      <w:rPr>
        <w:rFonts w:cs="Times New Roman"/>
      </w:rPr>
    </w:lvl>
    <w:lvl w:ilvl="3" w:tentative="0">
      <w:start w:val="1"/>
      <w:numFmt w:val="decimal"/>
      <w:lvlText w:val="%4."/>
      <w:lvlJc w:val="left"/>
      <w:pPr>
        <w:ind w:left="2140" w:hanging="420"/>
      </w:pPr>
      <w:rPr>
        <w:rFonts w:cs="Times New Roman"/>
      </w:rPr>
    </w:lvl>
    <w:lvl w:ilvl="4" w:tentative="0">
      <w:start w:val="1"/>
      <w:numFmt w:val="lowerLetter"/>
      <w:lvlText w:val="%5)"/>
      <w:lvlJc w:val="left"/>
      <w:pPr>
        <w:ind w:left="2560" w:hanging="420"/>
      </w:pPr>
      <w:rPr>
        <w:rFonts w:cs="Times New Roman"/>
      </w:rPr>
    </w:lvl>
    <w:lvl w:ilvl="5" w:tentative="0">
      <w:start w:val="1"/>
      <w:numFmt w:val="lowerRoman"/>
      <w:lvlText w:val="%6."/>
      <w:lvlJc w:val="right"/>
      <w:pPr>
        <w:ind w:left="2980" w:hanging="420"/>
      </w:pPr>
      <w:rPr>
        <w:rFonts w:cs="Times New Roman"/>
      </w:rPr>
    </w:lvl>
    <w:lvl w:ilvl="6" w:tentative="0">
      <w:start w:val="1"/>
      <w:numFmt w:val="decimal"/>
      <w:lvlText w:val="%7."/>
      <w:lvlJc w:val="left"/>
      <w:pPr>
        <w:ind w:left="3400" w:hanging="420"/>
      </w:pPr>
      <w:rPr>
        <w:rFonts w:cs="Times New Roman"/>
      </w:rPr>
    </w:lvl>
    <w:lvl w:ilvl="7" w:tentative="0">
      <w:start w:val="1"/>
      <w:numFmt w:val="lowerLetter"/>
      <w:lvlText w:val="%8)"/>
      <w:lvlJc w:val="left"/>
      <w:pPr>
        <w:ind w:left="3820" w:hanging="420"/>
      </w:pPr>
      <w:rPr>
        <w:rFonts w:cs="Times New Roman"/>
      </w:rPr>
    </w:lvl>
    <w:lvl w:ilvl="8" w:tentative="0">
      <w:start w:val="1"/>
      <w:numFmt w:val="lowerRoman"/>
      <w:lvlText w:val="%9."/>
      <w:lvlJc w:val="right"/>
      <w:pPr>
        <w:ind w:left="42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650"/>
    <w:rsid w:val="006B1F74"/>
    <w:rsid w:val="00DA26E2"/>
    <w:rsid w:val="00F44650"/>
    <w:rsid w:val="00FE62C9"/>
    <w:rsid w:val="DF7A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610</Words>
  <Characters>3483</Characters>
  <Lines>29</Lines>
  <Paragraphs>8</Paragraphs>
  <TotalTime>0</TotalTime>
  <ScaleCrop>false</ScaleCrop>
  <LinksUpToDate>false</LinksUpToDate>
  <CharactersWithSpaces>4085</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2017-06-28T19:11:00Z</dcterms:created>
  <dc:creator>yliu</dc:creator>
  <cp:lastModifiedBy>马酉泉</cp:lastModifiedBy>
  <dcterms:modified xsi:type="dcterms:W3CDTF">2022-12-05T14:39:23Z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BAA9C407D05A89E91B928D630DDEC0D0</vt:lpwstr>
  </property>
</Properties>
</file>